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eastAsia="方正黑体_GBK"/>
          <w:snapToGrid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全国残疾人按比例就业情况联网认证事项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网上申报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操作流程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第一步：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在互联网搜索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广西数字政务一体化平台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”（http://zwfw.gxzf.gov.cn/），进入。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第二步：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注册或者登录（选择“法人用户”注册或者“法人登录”）；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第三步：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选择行政区划，“部门列表”选择该区域残疾人联合会；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第四步：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选择“公共服务”，“全国残疾人按比例就业情况联网认证”在线办理；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第五步：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进入系统后，点击“我要申报”，先进行“单位信息维护管理”，再选择办理“残疾人安置管理”；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第六步：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添加残疾人信息，进行信息录入验证，提交保存安置信息，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待残联业务部门审核确认后，点击“完成申报”，点击“完成申报”后不可再添加安置残疾人；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第七步：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用人单位对审核结果无异议，点击“完成申报”；用人单位若在审核办结后需要重新申报的，需进行“年审认证反馈”并填写理由，待残联业务部门审核通过后将取消已申报的年审认证结果，用人单位可再重新按照网报流程办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第八步：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用人单位“完成申报”，待残联业务部门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将安置登记信息发送税务后，可直接通过电子税务局或到当地主管税务机关自主申报缴纳保障金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如有需要，可在申报页面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下载打印《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按比例安排残疾人就业审核认定书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MjJjMDVjYzcyZTMxN2E0NzA1YTQ5ZjlmY2ZhOTgifQ=="/>
  </w:docVars>
  <w:rsids>
    <w:rsidRoot w:val="2E6337AF"/>
    <w:rsid w:val="2E6337AF"/>
    <w:rsid w:val="397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521</Characters>
  <Lines>0</Lines>
  <Paragraphs>0</Paragraphs>
  <TotalTime>3</TotalTime>
  <ScaleCrop>false</ScaleCrop>
  <LinksUpToDate>false</LinksUpToDate>
  <CharactersWithSpaces>521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2023-03-10T07:16:00Z</dcterms:created>
  <dc:creator>3186953</dc:creator>
  <cp:lastModifiedBy>3186953</cp:lastModifiedBy>
  <dcterms:modified xsi:type="dcterms:W3CDTF">2023-03-10T07:21:19Z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408B8784D6084D5E97F7EC35E0CD75DF</vt:lpwstr>
  </property>
</Properties>
</file>